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9F09AA">
        <w:rPr>
          <w:rFonts w:ascii="Arial" w:hAnsi="Arial" w:cs="Arial"/>
          <w:b/>
          <w:bCs/>
          <w:sz w:val="20"/>
          <w:szCs w:val="20"/>
        </w:rPr>
        <w:t xml:space="preserve"> </w:t>
      </w:r>
      <w:r w:rsidR="00B24847">
        <w:rPr>
          <w:rFonts w:ascii="Arial" w:hAnsi="Arial" w:cs="Arial"/>
          <w:b/>
          <w:bCs/>
          <w:sz w:val="20"/>
          <w:szCs w:val="20"/>
        </w:rPr>
        <w:t>106</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B24847">
        <w:rPr>
          <w:rFonts w:ascii="Arial" w:hAnsi="Arial" w:cs="Arial"/>
          <w:b/>
          <w:bCs/>
          <w:sz w:val="20"/>
          <w:szCs w:val="20"/>
        </w:rPr>
        <w:t>26</w:t>
      </w:r>
      <w:r w:rsidR="00F86552" w:rsidRPr="0008098F">
        <w:rPr>
          <w:rFonts w:ascii="Arial" w:hAnsi="Arial" w:cs="Arial"/>
          <w:b/>
          <w:bCs/>
          <w:sz w:val="20"/>
          <w:szCs w:val="20"/>
        </w:rPr>
        <w:t xml:space="preserve"> «</w:t>
      </w:r>
      <w:r w:rsidR="00B24847">
        <w:rPr>
          <w:rFonts w:ascii="Arial" w:hAnsi="Arial" w:cs="Arial"/>
          <w:b/>
          <w:bCs/>
          <w:sz w:val="20"/>
          <w:szCs w:val="20"/>
        </w:rPr>
        <w:t>сентября</w:t>
      </w:r>
      <w:r w:rsidR="009F09AA">
        <w:rPr>
          <w:rFonts w:ascii="Arial" w:hAnsi="Arial" w:cs="Arial"/>
          <w:b/>
          <w:bCs/>
          <w:sz w:val="20"/>
          <w:szCs w:val="20"/>
        </w:rPr>
        <w:t>» 2022</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B24847" w:rsidRDefault="00DE5D54" w:rsidP="008855A9">
      <w:pPr>
        <w:jc w:val="both"/>
        <w:rPr>
          <w:rFonts w:ascii="Arial" w:hAnsi="Arial" w:cs="Arial"/>
          <w:b/>
          <w:i/>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к участию в процедуре Открытого запроса</w:t>
      </w:r>
      <w:proofErr w:type="gramEnd"/>
      <w:r w:rsidRPr="00726E3A">
        <w:rPr>
          <w:rFonts w:ascii="Arial" w:hAnsi="Arial" w:cs="Arial"/>
          <w:sz w:val="20"/>
          <w:szCs w:val="20"/>
        </w:rPr>
        <w:t xml:space="preserve">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на </w:t>
      </w:r>
      <w:r w:rsidR="00B24847">
        <w:rPr>
          <w:rFonts w:ascii="Arial" w:hAnsi="Arial" w:cs="Arial"/>
          <w:b/>
          <w:i/>
          <w:sz w:val="20"/>
          <w:szCs w:val="20"/>
        </w:rPr>
        <w:t>выполнение работ</w:t>
      </w:r>
      <w:r w:rsidR="00B24847" w:rsidRPr="00B24847">
        <w:rPr>
          <w:rFonts w:ascii="Arial" w:hAnsi="Arial" w:cs="Arial"/>
          <w:b/>
          <w:i/>
          <w:sz w:val="20"/>
          <w:szCs w:val="20"/>
        </w:rPr>
        <w:t>:</w:t>
      </w:r>
    </w:p>
    <w:p w:rsidR="00B24847" w:rsidRPr="00B24847" w:rsidRDefault="00B24847" w:rsidP="00B24847">
      <w:pPr>
        <w:jc w:val="both"/>
        <w:rPr>
          <w:rFonts w:ascii="Arial" w:hAnsi="Arial" w:cs="Arial"/>
          <w:sz w:val="20"/>
          <w:szCs w:val="20"/>
        </w:rPr>
      </w:pPr>
      <w:r w:rsidRPr="00190D15">
        <w:rPr>
          <w:rFonts w:ascii="Arial" w:hAnsi="Arial" w:cs="Arial"/>
        </w:rPr>
        <w:t>-</w:t>
      </w:r>
      <w:r w:rsidR="00DC0C15">
        <w:rPr>
          <w:rFonts w:ascii="Arial" w:hAnsi="Arial" w:cs="Arial"/>
        </w:rPr>
        <w:t xml:space="preserve"> </w:t>
      </w:r>
      <w:r w:rsidRPr="00B24847">
        <w:rPr>
          <w:rFonts w:ascii="Arial" w:hAnsi="Arial" w:cs="Arial"/>
          <w:sz w:val="20"/>
          <w:szCs w:val="20"/>
        </w:rPr>
        <w:t>Прокладка 2КЛ-1кВ от ТП-394 до муфты М</w:t>
      </w:r>
      <w:proofErr w:type="gramStart"/>
      <w:r w:rsidRPr="00B24847">
        <w:rPr>
          <w:rFonts w:ascii="Arial" w:hAnsi="Arial" w:cs="Arial"/>
          <w:sz w:val="20"/>
          <w:szCs w:val="20"/>
        </w:rPr>
        <w:t>1</w:t>
      </w:r>
      <w:proofErr w:type="gramEnd"/>
      <w:r w:rsidRPr="00B24847">
        <w:rPr>
          <w:rFonts w:ascii="Arial" w:hAnsi="Arial" w:cs="Arial"/>
          <w:sz w:val="20"/>
          <w:szCs w:val="20"/>
        </w:rPr>
        <w:t>, М2 по ул. Тарханова, 11А для "технологического присоединения  ВРУ с ЛЭП нежилого здания (клуб) с кадастровым №58:29:2009002:574 в границах земельного участка с кадастровым №58:29:2010007:235, г. Пенза, ул. Тарханова, 11А";</w:t>
      </w:r>
    </w:p>
    <w:p w:rsidR="00D75BA3" w:rsidRPr="00B24847" w:rsidRDefault="00B24847" w:rsidP="00B24847">
      <w:pPr>
        <w:jc w:val="both"/>
        <w:rPr>
          <w:rFonts w:ascii="Arial" w:hAnsi="Arial" w:cs="Arial"/>
          <w:sz w:val="20"/>
          <w:szCs w:val="20"/>
          <w:u w:val="single"/>
        </w:rPr>
      </w:pPr>
      <w:r w:rsidRPr="00B24847">
        <w:rPr>
          <w:rFonts w:ascii="Arial" w:hAnsi="Arial" w:cs="Arial"/>
          <w:sz w:val="20"/>
          <w:szCs w:val="20"/>
        </w:rPr>
        <w:t xml:space="preserve"> - Прокладка КЛ-1кВ от ТП-394 до муфты М</w:t>
      </w:r>
      <w:proofErr w:type="gramStart"/>
      <w:r w:rsidRPr="00B24847">
        <w:rPr>
          <w:rFonts w:ascii="Arial" w:hAnsi="Arial" w:cs="Arial"/>
          <w:sz w:val="20"/>
          <w:szCs w:val="20"/>
        </w:rPr>
        <w:t>1</w:t>
      </w:r>
      <w:proofErr w:type="gramEnd"/>
      <w:r w:rsidRPr="00B24847">
        <w:rPr>
          <w:rFonts w:ascii="Arial" w:hAnsi="Arial" w:cs="Arial"/>
          <w:sz w:val="20"/>
          <w:szCs w:val="20"/>
        </w:rPr>
        <w:t xml:space="preserve"> по ул. Тарханова, 6А для "технологического присоединения  ВРУ с ЛЭП магазина с кадастровым №58:29:2010007:723 в границах земельного участка с кадастровым №58:29:2010007:305, г. Пенза, ул. Тарханова, 6А", </w:t>
      </w:r>
      <w:r w:rsidR="00D75BA3" w:rsidRPr="00B24847">
        <w:rPr>
          <w:rFonts w:ascii="Arial" w:hAnsi="Arial" w:cs="Arial"/>
          <w:sz w:val="20"/>
          <w:szCs w:val="20"/>
        </w:rPr>
        <w:t>(далее – работы)</w:t>
      </w:r>
      <w:r w:rsidR="00126239" w:rsidRPr="00B24847">
        <w:rPr>
          <w:rFonts w:ascii="Arial" w:hAnsi="Arial" w:cs="Arial"/>
          <w:sz w:val="20"/>
          <w:szCs w:val="20"/>
        </w:rPr>
        <w:t>.</w:t>
      </w:r>
    </w:p>
    <w:p w:rsidR="00726E3A"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726E3A" w:rsidRPr="00726E3A">
        <w:rPr>
          <w:rFonts w:ascii="Arial" w:hAnsi="Arial" w:cs="Arial"/>
          <w:b/>
          <w:i/>
          <w:sz w:val="20"/>
          <w:szCs w:val="20"/>
        </w:rPr>
        <w:t xml:space="preserve">на право заключения Договора </w:t>
      </w:r>
      <w:r w:rsidR="009F09AA" w:rsidRPr="00726E3A">
        <w:rPr>
          <w:rFonts w:ascii="Arial" w:hAnsi="Arial" w:cs="Arial"/>
          <w:b/>
          <w:i/>
          <w:sz w:val="20"/>
          <w:szCs w:val="20"/>
        </w:rPr>
        <w:t xml:space="preserve">на </w:t>
      </w:r>
      <w:r w:rsidR="00B24847">
        <w:rPr>
          <w:rFonts w:ascii="Arial" w:hAnsi="Arial" w:cs="Arial"/>
          <w:b/>
          <w:i/>
          <w:sz w:val="20"/>
          <w:szCs w:val="20"/>
        </w:rPr>
        <w:t>выполнение работ</w:t>
      </w:r>
      <w:r w:rsidR="00B24847" w:rsidRPr="00B24847">
        <w:rPr>
          <w:rFonts w:ascii="Arial" w:hAnsi="Arial" w:cs="Arial"/>
          <w:b/>
          <w:i/>
          <w:sz w:val="20"/>
          <w:szCs w:val="20"/>
        </w:rPr>
        <w:t>:</w:t>
      </w:r>
    </w:p>
    <w:tbl>
      <w:tblPr>
        <w:tblStyle w:val="a9"/>
        <w:tblW w:w="0" w:type="auto"/>
        <w:tblLook w:val="04A0"/>
      </w:tblPr>
      <w:tblGrid>
        <w:gridCol w:w="737"/>
        <w:gridCol w:w="5827"/>
        <w:gridCol w:w="3989"/>
      </w:tblGrid>
      <w:tr w:rsidR="00A11DCF" w:rsidTr="00A11DCF">
        <w:tc>
          <w:tcPr>
            <w:tcW w:w="534"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center"/>
              <w:rPr>
                <w:rFonts w:ascii="Arial" w:hAnsi="Arial" w:cs="Arial"/>
                <w:b/>
                <w:sz w:val="20"/>
                <w:szCs w:val="20"/>
              </w:rPr>
            </w:pPr>
            <w:r w:rsidRPr="00A11DCF">
              <w:rPr>
                <w:rFonts w:ascii="Arial" w:hAnsi="Arial" w:cs="Arial"/>
                <w:b/>
                <w:sz w:val="20"/>
                <w:szCs w:val="20"/>
              </w:rPr>
              <w:t>№</w:t>
            </w:r>
            <w:proofErr w:type="spellStart"/>
            <w:proofErr w:type="gramStart"/>
            <w:r w:rsidRPr="00A11DCF">
              <w:rPr>
                <w:rFonts w:ascii="Arial" w:hAnsi="Arial" w:cs="Arial"/>
                <w:b/>
                <w:sz w:val="20"/>
                <w:szCs w:val="20"/>
              </w:rPr>
              <w:t>п</w:t>
            </w:r>
            <w:proofErr w:type="spellEnd"/>
            <w:proofErr w:type="gramEnd"/>
            <w:r w:rsidRPr="00A11DCF">
              <w:rPr>
                <w:rFonts w:ascii="Arial" w:hAnsi="Arial" w:cs="Arial"/>
                <w:b/>
                <w:sz w:val="20"/>
                <w:szCs w:val="20"/>
              </w:rPr>
              <w:t>/</w:t>
            </w:r>
            <w:proofErr w:type="spellStart"/>
            <w:r w:rsidRPr="00A11DCF">
              <w:rPr>
                <w:rFonts w:ascii="Arial" w:hAnsi="Arial" w:cs="Arial"/>
                <w:b/>
                <w:sz w:val="20"/>
                <w:szCs w:val="20"/>
              </w:rPr>
              <w:t>п</w:t>
            </w:r>
            <w:proofErr w:type="spellEnd"/>
          </w:p>
        </w:tc>
        <w:tc>
          <w:tcPr>
            <w:tcW w:w="5953"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center"/>
              <w:rPr>
                <w:rFonts w:ascii="Arial" w:hAnsi="Arial" w:cs="Arial"/>
                <w:b/>
                <w:sz w:val="20"/>
                <w:szCs w:val="20"/>
              </w:rPr>
            </w:pPr>
            <w:r w:rsidRPr="00A11DCF">
              <w:rPr>
                <w:rFonts w:ascii="Arial" w:hAnsi="Arial" w:cs="Arial"/>
                <w:b/>
                <w:sz w:val="20"/>
                <w:szCs w:val="20"/>
              </w:rPr>
              <w:t>Наименование</w:t>
            </w:r>
          </w:p>
        </w:tc>
        <w:tc>
          <w:tcPr>
            <w:tcW w:w="4066"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center"/>
              <w:rPr>
                <w:rFonts w:ascii="Arial" w:hAnsi="Arial" w:cs="Arial"/>
                <w:b/>
                <w:sz w:val="20"/>
                <w:szCs w:val="20"/>
              </w:rPr>
            </w:pPr>
            <w:r w:rsidRPr="00A11DCF">
              <w:rPr>
                <w:rFonts w:ascii="Arial" w:hAnsi="Arial" w:cs="Arial"/>
                <w:b/>
                <w:sz w:val="20"/>
                <w:szCs w:val="20"/>
              </w:rPr>
              <w:t>Начальная (максимальная) цена, руб. с учётом НДС</w:t>
            </w:r>
          </w:p>
        </w:tc>
      </w:tr>
      <w:tr w:rsidR="00A11DCF" w:rsidTr="00A11DCF">
        <w:tc>
          <w:tcPr>
            <w:tcW w:w="534"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A11DCF">
              <w:rPr>
                <w:rFonts w:ascii="Arial" w:hAnsi="Arial" w:cs="Arial"/>
                <w:sz w:val="20"/>
                <w:szCs w:val="20"/>
              </w:rPr>
              <w:t>1</w:t>
            </w:r>
          </w:p>
        </w:tc>
        <w:tc>
          <w:tcPr>
            <w:tcW w:w="5953"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b/>
                <w:i/>
                <w:sz w:val="20"/>
                <w:szCs w:val="20"/>
              </w:rPr>
            </w:pPr>
            <w:r w:rsidRPr="00B24847">
              <w:rPr>
                <w:rFonts w:ascii="Arial" w:hAnsi="Arial" w:cs="Arial"/>
                <w:sz w:val="20"/>
                <w:szCs w:val="20"/>
              </w:rPr>
              <w:t>Прокладка 2КЛ-1кВ от ТП-394 до муфты М</w:t>
            </w:r>
            <w:proofErr w:type="gramStart"/>
            <w:r w:rsidRPr="00B24847">
              <w:rPr>
                <w:rFonts w:ascii="Arial" w:hAnsi="Arial" w:cs="Arial"/>
                <w:sz w:val="20"/>
                <w:szCs w:val="20"/>
              </w:rPr>
              <w:t>1</w:t>
            </w:r>
            <w:proofErr w:type="gramEnd"/>
            <w:r w:rsidRPr="00B24847">
              <w:rPr>
                <w:rFonts w:ascii="Arial" w:hAnsi="Arial" w:cs="Arial"/>
                <w:sz w:val="20"/>
                <w:szCs w:val="20"/>
              </w:rPr>
              <w:t>, М2 по ул. Тарханова, 11А для "технологического присоединения  ВРУ с ЛЭП нежилого здания (клуб) с кадастровым №58:29:2009002:574 в границах земельного участка с кадастровым №58:29:2010007:235, г. Пенза, ул. Тарханова, 11А"</w:t>
            </w:r>
          </w:p>
        </w:tc>
        <w:tc>
          <w:tcPr>
            <w:tcW w:w="4066"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center"/>
              <w:rPr>
                <w:rFonts w:ascii="Arial" w:hAnsi="Arial" w:cs="Arial"/>
                <w:sz w:val="20"/>
                <w:szCs w:val="20"/>
              </w:rPr>
            </w:pPr>
            <w:r w:rsidRPr="00A11DCF">
              <w:rPr>
                <w:rFonts w:ascii="Arial" w:hAnsi="Arial" w:cs="Arial"/>
                <w:sz w:val="20"/>
                <w:szCs w:val="20"/>
              </w:rPr>
              <w:t>2 060 000,00</w:t>
            </w:r>
          </w:p>
        </w:tc>
      </w:tr>
      <w:tr w:rsidR="00A11DCF" w:rsidTr="00A11DCF">
        <w:tc>
          <w:tcPr>
            <w:tcW w:w="534"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A11DCF">
              <w:rPr>
                <w:rFonts w:ascii="Arial" w:hAnsi="Arial" w:cs="Arial"/>
                <w:sz w:val="20"/>
                <w:szCs w:val="20"/>
              </w:rPr>
              <w:t>2</w:t>
            </w:r>
          </w:p>
        </w:tc>
        <w:tc>
          <w:tcPr>
            <w:tcW w:w="5953"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b/>
                <w:i/>
                <w:sz w:val="20"/>
                <w:szCs w:val="20"/>
              </w:rPr>
            </w:pPr>
            <w:r w:rsidRPr="00B24847">
              <w:rPr>
                <w:rFonts w:ascii="Arial" w:hAnsi="Arial" w:cs="Arial"/>
                <w:sz w:val="20"/>
                <w:szCs w:val="20"/>
              </w:rPr>
              <w:t>Прокладка КЛ-1кВ от ТП-394 до муфты М</w:t>
            </w:r>
            <w:proofErr w:type="gramStart"/>
            <w:r w:rsidRPr="00B24847">
              <w:rPr>
                <w:rFonts w:ascii="Arial" w:hAnsi="Arial" w:cs="Arial"/>
                <w:sz w:val="20"/>
                <w:szCs w:val="20"/>
              </w:rPr>
              <w:t>1</w:t>
            </w:r>
            <w:proofErr w:type="gramEnd"/>
            <w:r w:rsidRPr="00B24847">
              <w:rPr>
                <w:rFonts w:ascii="Arial" w:hAnsi="Arial" w:cs="Arial"/>
                <w:sz w:val="20"/>
                <w:szCs w:val="20"/>
              </w:rPr>
              <w:t xml:space="preserve"> по ул. Тарханова, 6А для "технологического присоединения  ВРУ с ЛЭП магазина с кадастровым №58:29:2010007:723 в границах земельного участка с кадастровым №58:29:2010007:305, г. Пенза, ул. Тарханова, 6А"</w:t>
            </w:r>
          </w:p>
        </w:tc>
        <w:tc>
          <w:tcPr>
            <w:tcW w:w="4066" w:type="dxa"/>
          </w:tcPr>
          <w:p w:rsidR="00A11DCF" w:rsidRP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center"/>
              <w:rPr>
                <w:rFonts w:ascii="Arial" w:hAnsi="Arial" w:cs="Arial"/>
                <w:sz w:val="20"/>
                <w:szCs w:val="20"/>
              </w:rPr>
            </w:pPr>
            <w:r w:rsidRPr="00A11DCF">
              <w:rPr>
                <w:rFonts w:ascii="Arial" w:hAnsi="Arial" w:cs="Arial"/>
                <w:sz w:val="20"/>
                <w:szCs w:val="20"/>
              </w:rPr>
              <w:t>1 660 000,00</w:t>
            </w:r>
          </w:p>
        </w:tc>
      </w:tr>
    </w:tbl>
    <w:p w:rsidR="00A11DCF" w:rsidRDefault="00A11DCF" w:rsidP="00A11DCF">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b/>
          <w:i/>
          <w:sz w:val="20"/>
          <w:szCs w:val="20"/>
        </w:rPr>
      </w:pPr>
    </w:p>
    <w:p w:rsidR="00726E3A" w:rsidRPr="00726E3A" w:rsidRDefault="00DE5D54" w:rsidP="00726E3A">
      <w:pPr>
        <w:keepNext/>
        <w:keepLines/>
        <w:widowControl w:val="0"/>
        <w:numPr>
          <w:ilvl w:val="2"/>
          <w:numId w:val="9"/>
        </w:numPr>
        <w:tabs>
          <w:tab w:val="clear" w:pos="1146"/>
          <w:tab w:val="num" w:pos="0"/>
          <w:tab w:val="left" w:pos="284"/>
          <w:tab w:val="left" w:pos="709"/>
          <w:tab w:val="left" w:pos="1320"/>
        </w:tabs>
        <w:autoSpaceDE w:val="0"/>
        <w:autoSpaceDN w:val="0"/>
        <w:adjustRightInd w:val="0"/>
        <w:spacing w:before="60"/>
        <w:ind w:left="0" w:firstLine="0"/>
        <w:jc w:val="both"/>
        <w:rPr>
          <w:rFonts w:ascii="Arial" w:hAnsi="Arial" w:cs="Arial"/>
          <w:b/>
          <w:i/>
          <w:sz w:val="20"/>
          <w:szCs w:val="20"/>
        </w:rPr>
      </w:pPr>
      <w:r w:rsidRPr="00726E3A">
        <w:rPr>
          <w:rFonts w:ascii="Arial" w:hAnsi="Arial" w:cs="Arial"/>
          <w:sz w:val="20"/>
          <w:szCs w:val="20"/>
        </w:rPr>
        <w:t xml:space="preserve">Условия оплаты - </w:t>
      </w:r>
      <w:r w:rsidR="00726E3A" w:rsidRPr="00726E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B24847">
        <w:rPr>
          <w:rFonts w:ascii="Arial" w:hAnsi="Arial" w:cs="Arial"/>
          <w:sz w:val="20"/>
          <w:szCs w:val="20"/>
        </w:rPr>
        <w:t>7 (Семи) рабочих</w:t>
      </w:r>
      <w:r w:rsidRPr="00726E3A">
        <w:rPr>
          <w:rFonts w:ascii="Arial" w:hAnsi="Arial" w:cs="Arial"/>
          <w:sz w:val="20"/>
          <w:szCs w:val="20"/>
        </w:rPr>
        <w:t xml:space="preserve">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9F09AA"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 xml:space="preserve">Срок начала работ - </w:t>
      </w:r>
      <w:r w:rsidR="009F09AA" w:rsidRPr="009F09AA">
        <w:rPr>
          <w:rFonts w:ascii="Arial" w:hAnsi="Arial" w:cs="Arial"/>
          <w:sz w:val="20"/>
          <w:szCs w:val="20"/>
        </w:rPr>
        <w:t>в течение 1 (Одного) рабочего дня  с момента подписания договора.</w:t>
      </w:r>
    </w:p>
    <w:p w:rsidR="002457EE" w:rsidRPr="0060441E" w:rsidRDefault="009F09AA"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Pr>
          <w:rFonts w:ascii="Arial" w:hAnsi="Arial" w:cs="Arial"/>
          <w:sz w:val="20"/>
          <w:szCs w:val="20"/>
        </w:rPr>
        <w:t xml:space="preserve">          </w:t>
      </w:r>
      <w:r w:rsidR="002457EE" w:rsidRPr="0046196B">
        <w:rPr>
          <w:rFonts w:ascii="Arial" w:hAnsi="Arial" w:cs="Arial"/>
          <w:sz w:val="20"/>
          <w:szCs w:val="20"/>
        </w:rPr>
        <w:t>Срок окончания работ  -</w:t>
      </w:r>
      <w:r w:rsidR="00B24847">
        <w:rPr>
          <w:rFonts w:ascii="Arial" w:hAnsi="Arial" w:cs="Arial"/>
          <w:sz w:val="20"/>
          <w:szCs w:val="20"/>
        </w:rPr>
        <w:t xml:space="preserve"> до 15.10</w:t>
      </w:r>
      <w:r>
        <w:rPr>
          <w:rFonts w:ascii="Arial" w:hAnsi="Arial" w:cs="Arial"/>
          <w:sz w:val="20"/>
          <w:szCs w:val="20"/>
        </w:rPr>
        <w:t>.2022</w:t>
      </w:r>
      <w:r w:rsidR="002457EE">
        <w:rPr>
          <w:rFonts w:ascii="Arial" w:hAnsi="Arial" w:cs="Arial"/>
          <w:sz w:val="20"/>
          <w:szCs w:val="20"/>
        </w:rPr>
        <w:t>г.</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B24847">
        <w:rPr>
          <w:rFonts w:ascii="Arial" w:hAnsi="Arial" w:cs="Arial"/>
          <w:sz w:val="20"/>
          <w:szCs w:val="20"/>
        </w:rPr>
        <w:t>.</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A11DCF" w:rsidRPr="00A11DCF">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roofErr w:type="gramStart"/>
      <w:r w:rsidRPr="0008098F">
        <w:rPr>
          <w:rFonts w:ascii="Arial" w:hAnsi="Arial" w:cs="Arial"/>
          <w:sz w:val="20"/>
          <w:szCs w:val="20"/>
        </w:rPr>
        <w:t>представляют собой риск для Участника и может</w:t>
      </w:r>
      <w:proofErr w:type="gramEnd"/>
      <w:r w:rsidRPr="0008098F">
        <w:rPr>
          <w:rFonts w:ascii="Arial" w:hAnsi="Arial" w:cs="Arial"/>
          <w:sz w:val="20"/>
          <w:szCs w:val="20"/>
        </w:rPr>
        <w:t xml:space="preserve">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7154D6"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7154D6" w:rsidRPr="0008098F">
        <w:rPr>
          <w:rFonts w:ascii="Arial" w:hAnsi="Arial" w:cs="Arial"/>
          <w:sz w:val="20"/>
          <w:szCs w:val="20"/>
        </w:rPr>
      </w:r>
      <w:r w:rsidR="007154D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7154D6"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7154D6" w:rsidRPr="0008098F">
        <w:rPr>
          <w:rFonts w:ascii="Arial" w:hAnsi="Arial" w:cs="Arial"/>
          <w:sz w:val="20"/>
          <w:szCs w:val="20"/>
        </w:rPr>
      </w:r>
      <w:r w:rsidR="007154D6"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7154D6"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7154D6" w:rsidRPr="0008098F">
        <w:rPr>
          <w:rFonts w:ascii="Arial" w:hAnsi="Arial" w:cs="Arial"/>
          <w:sz w:val="20"/>
          <w:szCs w:val="20"/>
        </w:rPr>
      </w:r>
      <w:r w:rsidR="007154D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7154D6"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7154D6" w:rsidRPr="0008098F">
        <w:rPr>
          <w:rFonts w:ascii="Arial" w:hAnsi="Arial" w:cs="Arial"/>
          <w:sz w:val="20"/>
          <w:szCs w:val="20"/>
        </w:rPr>
      </w:r>
      <w:r w:rsidR="007154D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A11DCF" w:rsidRPr="00A11DCF">
          <w:rPr>
            <w:rFonts w:ascii="Arial" w:hAnsi="Arial" w:cs="Arial"/>
            <w:sz w:val="20"/>
            <w:szCs w:val="20"/>
          </w:rPr>
          <w:t>0</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F3305" w:rsidRDefault="009F09AA" w:rsidP="009F09AA">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Смета (является приложением №1 к договору);</w:t>
      </w:r>
    </w:p>
    <w:p w:rsidR="000F3305" w:rsidRPr="0089320A" w:rsidRDefault="000F3305" w:rsidP="000F3305">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89320A">
        <w:rPr>
          <w:rFonts w:ascii="Arial" w:hAnsi="Arial" w:cs="Arial"/>
          <w:bCs/>
          <w:sz w:val="20"/>
          <w:szCs w:val="20"/>
        </w:rPr>
        <w:t>Техническое предложение на выполнение работ (Форма №9)</w:t>
      </w:r>
      <w:r w:rsidRPr="0089320A">
        <w:rPr>
          <w:rFonts w:ascii="Arial" w:hAnsi="Arial" w:cs="Arial"/>
          <w:sz w:val="20"/>
          <w:szCs w:val="20"/>
        </w:rPr>
        <w:t>;</w:t>
      </w:r>
    </w:p>
    <w:p w:rsidR="000F3305" w:rsidRPr="009F09AA" w:rsidRDefault="000F3305" w:rsidP="000F3305">
      <w:pPr>
        <w:keepNext/>
        <w:keepLines/>
        <w:widowControl w:val="0"/>
        <w:shd w:val="clear" w:color="auto" w:fill="FFFFFF"/>
        <w:tabs>
          <w:tab w:val="left" w:pos="284"/>
          <w:tab w:val="left" w:pos="567"/>
          <w:tab w:val="left" w:pos="1276"/>
          <w:tab w:val="num" w:pos="3600"/>
        </w:tabs>
        <w:autoSpaceDE w:val="0"/>
        <w:jc w:val="both"/>
        <w:rPr>
          <w:rFonts w:ascii="Arial" w:hAnsi="Arial" w:cs="Arial"/>
          <w:b/>
          <w:bCs/>
          <w:sz w:val="20"/>
          <w:szCs w:val="20"/>
        </w:rPr>
      </w:pP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11DCF" w:rsidRPr="00A11DCF">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B24847">
        <w:rPr>
          <w:rFonts w:ascii="Arial" w:hAnsi="Arial" w:cs="Arial"/>
          <w:sz w:val="20"/>
          <w:szCs w:val="20"/>
        </w:rPr>
        <w:t>82В, кабинет 106</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lastRenderedPageBreak/>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w:t>
      </w:r>
      <w:r w:rsidR="00B24847">
        <w:rPr>
          <w:rFonts w:ascii="Arial" w:hAnsi="Arial" w:cs="Arial"/>
          <w:sz w:val="20"/>
          <w:szCs w:val="20"/>
        </w:rPr>
        <w:t xml:space="preserve"> </w:t>
      </w:r>
      <w:r w:rsidR="00B24847">
        <w:rPr>
          <w:rFonts w:ascii="Arial" w:hAnsi="Arial" w:cs="Arial"/>
          <w:b/>
          <w:sz w:val="20"/>
          <w:szCs w:val="20"/>
        </w:rPr>
        <w:t xml:space="preserve">3 720 000,00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B24847">
        <w:rPr>
          <w:rFonts w:ascii="Arial" w:hAnsi="Arial" w:cs="Arial"/>
          <w:b/>
          <w:sz w:val="20"/>
          <w:szCs w:val="20"/>
        </w:rPr>
        <w:t>3 100 000,00</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000F3305">
        <w:rPr>
          <w:rFonts w:ascii="Arial" w:hAnsi="Arial" w:cs="Arial"/>
          <w:sz w:val="20"/>
          <w:szCs w:val="20"/>
        </w:rPr>
        <w:t xml:space="preserve"> и других обязательных платежей</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F3305">
        <w:rPr>
          <w:rFonts w:ascii="Arial" w:hAnsi="Arial" w:cs="Arial"/>
          <w:sz w:val="20"/>
          <w:szCs w:val="20"/>
        </w:rPr>
        <w:t>без учета</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lastRenderedPageBreak/>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B24847">
        <w:rPr>
          <w:rFonts w:ascii="Arial" w:hAnsi="Arial" w:cs="Arial"/>
          <w:b/>
          <w:sz w:val="20"/>
          <w:szCs w:val="20"/>
        </w:rPr>
        <w:t>26.09</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B24847">
        <w:rPr>
          <w:rFonts w:ascii="Arial" w:hAnsi="Arial" w:cs="Arial"/>
          <w:b/>
          <w:sz w:val="20"/>
          <w:szCs w:val="20"/>
        </w:rPr>
        <w:t>27.09</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B24847">
        <w:rPr>
          <w:rFonts w:ascii="Arial" w:hAnsi="Arial" w:cs="Arial"/>
          <w:b/>
          <w:i/>
          <w:sz w:val="20"/>
          <w:szCs w:val="20"/>
          <w:u w:val="single"/>
        </w:rPr>
        <w:t>29.09</w:t>
      </w:r>
      <w:r w:rsidR="000F3305">
        <w:rPr>
          <w:rFonts w:ascii="Arial" w:hAnsi="Arial" w:cs="Arial"/>
          <w:b/>
          <w:i/>
          <w:sz w:val="20"/>
          <w:szCs w:val="20"/>
          <w:u w:val="single"/>
        </w:rPr>
        <w:t>.2022</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B24847">
        <w:rPr>
          <w:rFonts w:ascii="Arial" w:hAnsi="Arial" w:cs="Arial"/>
          <w:b/>
          <w:i/>
          <w:sz w:val="20"/>
          <w:szCs w:val="20"/>
          <w:u w:val="single"/>
        </w:rPr>
        <w:t>29.09</w:t>
      </w:r>
      <w:r w:rsidR="000F3305">
        <w:rPr>
          <w:rFonts w:ascii="Arial" w:hAnsi="Arial" w:cs="Arial"/>
          <w:b/>
          <w:i/>
          <w:sz w:val="20"/>
          <w:szCs w:val="20"/>
          <w:u w:val="single"/>
        </w:rPr>
        <w:t>.2022</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w:t>
      </w:r>
      <w:proofErr w:type="gramStart"/>
      <w:r w:rsidR="003E518F">
        <w:rPr>
          <w:rFonts w:ascii="Arial" w:hAnsi="Arial" w:cs="Arial"/>
          <w:sz w:val="20"/>
          <w:szCs w:val="20"/>
        </w:rPr>
        <w:t xml:space="preserve"> В</w:t>
      </w:r>
      <w:proofErr w:type="gramEnd"/>
      <w:r w:rsidRPr="0008098F">
        <w:rPr>
          <w:rFonts w:ascii="Arial" w:hAnsi="Arial" w:cs="Arial"/>
          <w:sz w:val="20"/>
          <w:szCs w:val="20"/>
        </w:rPr>
        <w:t xml:space="preserve">, </w:t>
      </w:r>
      <w:r w:rsidR="00B24847">
        <w:rPr>
          <w:rFonts w:ascii="Arial" w:hAnsi="Arial" w:cs="Arial"/>
          <w:sz w:val="20"/>
          <w:szCs w:val="20"/>
        </w:rPr>
        <w:t>кабинет № 106</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0,8</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0,2</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а) закупка признана несостоявшейся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 xml:space="preserve">такие </w:t>
      </w:r>
      <w:r w:rsidRPr="0091702D">
        <w:rPr>
          <w:rFonts w:ascii="Arial" w:hAnsi="Arial" w:cs="Arial"/>
          <w:sz w:val="20"/>
          <w:szCs w:val="20"/>
        </w:rPr>
        <w:lastRenderedPageBreak/>
        <w:t>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B24847"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91702D">
        <w:rPr>
          <w:rFonts w:ascii="Arial" w:hAnsi="Arial" w:cs="Arial"/>
          <w:b/>
          <w:sz w:val="20"/>
          <w:szCs w:val="20"/>
          <w:lang w:val="en-US"/>
        </w:rPr>
        <w:t>Zi</w:t>
      </w:r>
      <w:proofErr w:type="spellEnd"/>
      <w:r w:rsidRPr="00B24847">
        <w:rPr>
          <w:rFonts w:ascii="Arial" w:hAnsi="Arial" w:cs="Arial"/>
          <w:b/>
          <w:sz w:val="20"/>
          <w:szCs w:val="20"/>
          <w:lang w:val="en-US"/>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B24847">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B24847">
        <w:rPr>
          <w:rFonts w:ascii="Arial" w:eastAsia="Calibri" w:hAnsi="Arial" w:cs="Arial"/>
          <w:b/>
          <w:sz w:val="20"/>
          <w:szCs w:val="20"/>
          <w:lang w:val="en-US"/>
        </w:rPr>
        <w:t>)</w:t>
      </w:r>
      <w:r w:rsidRPr="00B24847">
        <w:rPr>
          <w:rFonts w:ascii="Arial" w:hAnsi="Arial" w:cs="Arial"/>
          <w:sz w:val="20"/>
          <w:szCs w:val="20"/>
          <w:lang w:val="en-US"/>
        </w:rPr>
        <w:t xml:space="preserve"> </w:t>
      </w:r>
      <w:r w:rsidRPr="00B24847">
        <w:rPr>
          <w:rFonts w:ascii="Arial" w:hAnsi="Arial" w:cs="Arial"/>
          <w:b/>
          <w:sz w:val="20"/>
          <w:szCs w:val="20"/>
          <w:lang w:val="en-US"/>
        </w:rPr>
        <w:t>+</w:t>
      </w:r>
      <w:r w:rsidRPr="00B24847">
        <w:rPr>
          <w:rFonts w:ascii="Arial" w:eastAsia="Calibri" w:hAnsi="Arial" w:cs="Arial"/>
          <w:b/>
          <w:sz w:val="20"/>
          <w:szCs w:val="20"/>
          <w:lang w:val="en-US"/>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B24847">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B24847">
        <w:rPr>
          <w:rFonts w:ascii="Arial" w:eastAsia="Calibri" w:hAnsi="Arial" w:cs="Arial"/>
          <w:b/>
          <w:sz w:val="20"/>
          <w:szCs w:val="20"/>
          <w:lang w:val="en-US"/>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B24847">
        <w:rPr>
          <w:rFonts w:ascii="Arial" w:hAnsi="Arial" w:cs="Arial"/>
          <w:b/>
          <w:sz w:val="20"/>
          <w:szCs w:val="20"/>
          <w:lang w:val="en-US"/>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B24847">
        <w:rPr>
          <w:rFonts w:ascii="Arial" w:hAnsi="Arial" w:cs="Arial"/>
          <w:b/>
          <w:sz w:val="20"/>
          <w:szCs w:val="20"/>
          <w:lang w:val="en-US"/>
        </w:rPr>
        <w:t xml:space="preserve">) </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2560DA" w:rsidRPr="002560DA" w:rsidRDefault="002560DA" w:rsidP="003C6E0C">
      <w:pPr>
        <w:keepNext/>
        <w:keepLines/>
        <w:widowControl w:val="0"/>
        <w:numPr>
          <w:ilvl w:val="2"/>
          <w:numId w:val="30"/>
        </w:numPr>
        <w:overflowPunct w:val="0"/>
        <w:autoSpaceDE w:val="0"/>
        <w:ind w:left="0" w:firstLine="0"/>
        <w:jc w:val="both"/>
        <w:rPr>
          <w:rFonts w:ascii="Arial" w:hAnsi="Arial" w:cs="Arial"/>
          <w:sz w:val="20"/>
          <w:szCs w:val="20"/>
        </w:rPr>
      </w:pPr>
      <w:bookmarkStart w:id="106" w:name="_Ref305979053"/>
      <w:bookmarkStart w:id="107" w:name="_Ref191386314"/>
      <w:r w:rsidRPr="002560DA">
        <w:rPr>
          <w:rFonts w:ascii="Arial" w:hAnsi="Arial" w:cs="Arial"/>
          <w:sz w:val="20"/>
          <w:szCs w:val="20"/>
        </w:rPr>
        <w:t xml:space="preserve">Договор между Заказчиком и Участником, чья Заявка признана лучшей, подписывается не позднее чем через 11 дней </w:t>
      </w:r>
      <w:proofErr w:type="gramStart"/>
      <w:r w:rsidRPr="002560DA">
        <w:rPr>
          <w:rFonts w:ascii="Arial" w:hAnsi="Arial" w:cs="Arial"/>
          <w:sz w:val="20"/>
          <w:szCs w:val="20"/>
        </w:rPr>
        <w:t>с даты размещения</w:t>
      </w:r>
      <w:proofErr w:type="gramEnd"/>
      <w:r w:rsidRPr="002560DA">
        <w:rPr>
          <w:rFonts w:ascii="Arial" w:hAnsi="Arial" w:cs="Arial"/>
          <w:sz w:val="20"/>
          <w:szCs w:val="20"/>
        </w:rPr>
        <w:t xml:space="preserve"> в ЕИС протокола заседания Комиссии по оценке предложений и выбору победителя.  После получения уведомления о результатах переговоров, Победитель в течение 5 дней должен предоставить в адрес ЗАО «</w:t>
      </w:r>
      <w:proofErr w:type="gramStart"/>
      <w:r w:rsidRPr="002560DA">
        <w:rPr>
          <w:rFonts w:ascii="Arial" w:hAnsi="Arial" w:cs="Arial"/>
          <w:sz w:val="20"/>
          <w:szCs w:val="20"/>
        </w:rPr>
        <w:t>Пензенская</w:t>
      </w:r>
      <w:proofErr w:type="gramEnd"/>
      <w:r w:rsidRPr="002560D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11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6"/>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8"/>
      <w:bookmarkEnd w:id="109"/>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0"/>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по </w:t>
      </w:r>
      <w:r w:rsidR="00B24847">
        <w:rPr>
          <w:rFonts w:ascii="Arial" w:hAnsi="Arial" w:cs="Arial"/>
          <w:sz w:val="20"/>
          <w:szCs w:val="20"/>
        </w:rPr>
        <w:t xml:space="preserve">общим вопросам </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00B24847">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B24847" w:rsidRDefault="004C5C0F" w:rsidP="004C5C0F">
      <w:pPr>
        <w:rPr>
          <w:rFonts w:ascii="Arial" w:hAnsi="Arial" w:cs="Arial"/>
          <w:sz w:val="20"/>
          <w:szCs w:val="20"/>
        </w:rPr>
      </w:pPr>
      <w:r w:rsidRPr="0008098F">
        <w:rPr>
          <w:rFonts w:ascii="Arial" w:hAnsi="Arial" w:cs="Arial"/>
          <w:sz w:val="20"/>
          <w:szCs w:val="20"/>
        </w:rPr>
        <w:t xml:space="preserve">4. Начальник </w:t>
      </w:r>
      <w:r w:rsidR="00B24847">
        <w:rPr>
          <w:rFonts w:ascii="Arial" w:hAnsi="Arial" w:cs="Arial"/>
          <w:sz w:val="20"/>
          <w:szCs w:val="20"/>
        </w:rPr>
        <w:t xml:space="preserve">управления </w:t>
      </w:r>
    </w:p>
    <w:p w:rsidR="004C5C0F" w:rsidRPr="0008098F" w:rsidRDefault="00B24847" w:rsidP="004C5C0F">
      <w:pPr>
        <w:rPr>
          <w:rFonts w:ascii="Arial" w:hAnsi="Arial" w:cs="Arial"/>
          <w:sz w:val="20"/>
          <w:szCs w:val="20"/>
        </w:rPr>
      </w:pPr>
      <w:r>
        <w:rPr>
          <w:rFonts w:ascii="Arial" w:hAnsi="Arial" w:cs="Arial"/>
          <w:sz w:val="20"/>
          <w:szCs w:val="20"/>
        </w:rPr>
        <w:t xml:space="preserve"> капитального строительства и </w:t>
      </w:r>
      <w:r w:rsidR="004C5C0F" w:rsidRPr="0008098F">
        <w:rPr>
          <w:rFonts w:ascii="Arial" w:hAnsi="Arial" w:cs="Arial"/>
          <w:sz w:val="20"/>
          <w:szCs w:val="20"/>
        </w:rPr>
        <w:t xml:space="preserve"> инвестиций                                                                 </w:t>
      </w:r>
      <w:r>
        <w:rPr>
          <w:rFonts w:ascii="Arial" w:hAnsi="Arial" w:cs="Arial"/>
          <w:sz w:val="20"/>
          <w:szCs w:val="20"/>
        </w:rPr>
        <w:t xml:space="preserve">                      </w:t>
      </w:r>
      <w:r w:rsidR="004C5C0F" w:rsidRPr="0008098F">
        <w:rPr>
          <w:rFonts w:ascii="Arial" w:hAnsi="Arial" w:cs="Arial"/>
          <w:sz w:val="20"/>
          <w:szCs w:val="20"/>
        </w:rPr>
        <w:t xml:space="preserve">  М.Н. </w:t>
      </w:r>
      <w:proofErr w:type="spellStart"/>
      <w:r w:rsidR="004C5C0F" w:rsidRPr="0008098F">
        <w:rPr>
          <w:rFonts w:ascii="Arial" w:hAnsi="Arial" w:cs="Arial"/>
          <w:sz w:val="20"/>
          <w:szCs w:val="20"/>
        </w:rPr>
        <w:t>Лагуткин</w:t>
      </w:r>
      <w:proofErr w:type="spellEnd"/>
      <w:r w:rsidR="004C5C0F"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1"/>
      <w:bookmarkEnd w:id="112"/>
      <w:r w:rsidRPr="0008098F">
        <w:rPr>
          <w:rFonts w:ascii="Arial" w:hAnsi="Arial" w:cs="Arial"/>
          <w:sz w:val="20"/>
          <w:szCs w:val="20"/>
        </w:rPr>
        <w:t>Заявку</w:t>
      </w:r>
      <w:bookmarkEnd w:id="113"/>
      <w:bookmarkEnd w:id="114"/>
      <w:bookmarkEnd w:id="115"/>
      <w:bookmarkEnd w:id="116"/>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DC0C15">
        <w:rPr>
          <w:rFonts w:ascii="Arial" w:hAnsi="Arial" w:cs="Arial"/>
          <w:b/>
          <w:sz w:val="20"/>
          <w:szCs w:val="20"/>
        </w:rPr>
        <w:t>106</w:t>
      </w:r>
      <w:r w:rsidRPr="0008098F">
        <w:rPr>
          <w:rFonts w:ascii="Arial" w:hAnsi="Arial" w:cs="Arial"/>
          <w:b/>
          <w:sz w:val="20"/>
          <w:szCs w:val="20"/>
        </w:rPr>
        <w:t xml:space="preserve"> от  </w:t>
      </w:r>
      <w:r w:rsidR="00DC0C15">
        <w:rPr>
          <w:rFonts w:ascii="Arial" w:hAnsi="Arial" w:cs="Arial"/>
          <w:b/>
          <w:sz w:val="20"/>
          <w:szCs w:val="20"/>
        </w:rPr>
        <w:t>26</w:t>
      </w:r>
      <w:r w:rsidRPr="0008098F">
        <w:rPr>
          <w:rFonts w:ascii="Arial" w:hAnsi="Arial" w:cs="Arial"/>
          <w:b/>
          <w:sz w:val="20"/>
          <w:szCs w:val="20"/>
        </w:rPr>
        <w:t>.</w:t>
      </w:r>
      <w:r w:rsidR="00DC0C15">
        <w:rPr>
          <w:rFonts w:ascii="Arial" w:hAnsi="Arial" w:cs="Arial"/>
          <w:b/>
          <w:sz w:val="20"/>
          <w:szCs w:val="20"/>
        </w:rPr>
        <w:t>09</w:t>
      </w:r>
      <w:r w:rsidR="002560DA">
        <w:rPr>
          <w:rFonts w:ascii="Arial" w:hAnsi="Arial" w:cs="Arial"/>
          <w:b/>
          <w:sz w:val="20"/>
          <w:szCs w:val="20"/>
        </w:rPr>
        <w:t>.22</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2560DA" w:rsidP="00DC0C15">
            <w:pPr>
              <w:pStyle w:val="af"/>
              <w:spacing w:before="0" w:after="0"/>
              <w:ind w:left="0" w:right="0"/>
              <w:rPr>
                <w:rFonts w:ascii="Arial" w:hAnsi="Arial" w:cs="Arial"/>
                <w:sz w:val="20"/>
                <w:szCs w:val="20"/>
              </w:rPr>
            </w:pPr>
            <w:r>
              <w:rPr>
                <w:rFonts w:ascii="Arial" w:hAnsi="Arial" w:cs="Arial"/>
                <w:b/>
                <w:sz w:val="20"/>
                <w:szCs w:val="20"/>
              </w:rPr>
              <w:t>ИТОГО за целый 20</w:t>
            </w:r>
            <w:r w:rsidR="00DC0C15">
              <w:rPr>
                <w:rFonts w:ascii="Arial" w:hAnsi="Arial" w:cs="Arial"/>
                <w:b/>
                <w:sz w:val="20"/>
                <w:szCs w:val="20"/>
              </w:rPr>
              <w:t>20</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DC0C15" w:rsidP="0008098F">
            <w:pPr>
              <w:pStyle w:val="af"/>
              <w:spacing w:before="0" w:after="0"/>
              <w:ind w:left="0" w:right="0"/>
              <w:rPr>
                <w:rFonts w:ascii="Arial" w:hAnsi="Arial" w:cs="Arial"/>
                <w:sz w:val="20"/>
                <w:szCs w:val="20"/>
              </w:rPr>
            </w:pPr>
            <w:r>
              <w:rPr>
                <w:rFonts w:ascii="Arial" w:hAnsi="Arial" w:cs="Arial"/>
                <w:b/>
                <w:sz w:val="20"/>
                <w:szCs w:val="20"/>
              </w:rPr>
              <w:t>ИТОГО за целый 2021</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DC0C15">
              <w:rPr>
                <w:rFonts w:ascii="Arial" w:hAnsi="Arial" w:cs="Arial"/>
                <w:b/>
                <w:sz w:val="20"/>
                <w:szCs w:val="20"/>
              </w:rPr>
              <w:t>6 месяцев</w:t>
            </w:r>
            <w:r w:rsidR="003C6E0C">
              <w:rPr>
                <w:rFonts w:ascii="Arial" w:hAnsi="Arial" w:cs="Arial"/>
                <w:b/>
                <w:sz w:val="20"/>
                <w:szCs w:val="20"/>
              </w:rPr>
              <w:t xml:space="preserve"> </w:t>
            </w:r>
            <w:r w:rsidR="00DC0C15">
              <w:rPr>
                <w:rFonts w:ascii="Arial" w:hAnsi="Arial" w:cs="Arial"/>
                <w:b/>
                <w:sz w:val="20"/>
                <w:szCs w:val="20"/>
              </w:rPr>
              <w:t>2022</w:t>
            </w:r>
            <w:r w:rsidRPr="0008098F">
              <w:rPr>
                <w:rFonts w:ascii="Arial" w:hAnsi="Arial" w:cs="Arial"/>
                <w:b/>
                <w:sz w:val="20"/>
                <w:szCs w:val="20"/>
              </w:rPr>
              <w:t xml:space="preserve"> год</w:t>
            </w:r>
            <w:r w:rsidR="00DC0C15">
              <w:rPr>
                <w:rFonts w:ascii="Arial" w:hAnsi="Arial" w:cs="Arial"/>
                <w:b/>
                <w:sz w:val="20"/>
                <w:szCs w:val="20"/>
              </w:rPr>
              <w:t>а</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7154D6" w:rsidP="0008098F">
      <w:pPr>
        <w:tabs>
          <w:tab w:val="num" w:pos="0"/>
        </w:tabs>
        <w:rPr>
          <w:rFonts w:ascii="Arial" w:hAnsi="Arial" w:cs="Arial"/>
          <w:sz w:val="20"/>
          <w:szCs w:val="20"/>
        </w:rPr>
      </w:pPr>
      <w:r w:rsidRPr="007154D6">
        <w:rPr>
          <w:rFonts w:ascii="Arial" w:hAnsi="Arial" w:cs="Arial"/>
          <w:b/>
          <w:noProof/>
          <w:spacing w:val="36"/>
          <w:sz w:val="20"/>
          <w:szCs w:val="20"/>
        </w:rPr>
        <w:pict>
          <v:rect id="_x0000_s1035" style="position:absolute;margin-left:-2.8pt;margin-top:130.3pt;width:510.2pt;height:141.35pt;z-index:251667456">
            <v:textbox>
              <w:txbxContent>
                <w:p w:rsidR="00A11DCF" w:rsidRPr="002A0EDC" w:rsidRDefault="00A11DCF"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1DCF" w:rsidRPr="002A0EDC" w:rsidRDefault="00A11DCF"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11DCF" w:rsidRDefault="00A11DC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08098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7154D6"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11DCF" w:rsidRPr="002A0EDC" w:rsidRDefault="00A11DCF"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11DCF" w:rsidRPr="002A0EDC" w:rsidRDefault="00A11DCF"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11DCF" w:rsidRDefault="00A11DC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08098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7154D6" w:rsidP="0008098F">
      <w:pPr>
        <w:rPr>
          <w:rFonts w:ascii="Arial" w:hAnsi="Arial" w:cs="Arial"/>
          <w:sz w:val="20"/>
          <w:szCs w:val="20"/>
        </w:rPr>
      </w:pPr>
      <w:r w:rsidRPr="007154D6">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A11DCF" w:rsidRPr="002A0EDC" w:rsidRDefault="00A11DCF"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11DCF" w:rsidRPr="002A0EDC" w:rsidRDefault="00A11DC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11DCF" w:rsidRPr="00301BEC" w:rsidRDefault="00A11DCF" w:rsidP="002A0EDC">
                  <w:pPr>
                    <w:rPr>
                      <w:rFonts w:ascii="Arial" w:hAnsi="Arial" w:cs="Arial"/>
                      <w:sz w:val="20"/>
                      <w:szCs w:val="20"/>
                    </w:rPr>
                  </w:pPr>
                </w:p>
                <w:p w:rsidR="00A11DCF" w:rsidRDefault="00A11DCF"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1" w:name="_Ref372726841"/>
      <w:bookmarkEnd w:id="121"/>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1"/>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2"/>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3" w:name="sub_10103"/>
      <w:r w:rsidRPr="0008098F">
        <w:rPr>
          <w:rFonts w:ascii="Arial" w:eastAsia="Calibri" w:hAnsi="Arial" w:cs="Arial"/>
          <w:bCs/>
          <w:sz w:val="20"/>
          <w:szCs w:val="20"/>
          <w:lang w:eastAsia="en-US"/>
        </w:rPr>
        <w:t>2. ИНН/КПП: _________________________________________________________________.</w:t>
      </w:r>
    </w:p>
    <w:bookmarkEnd w:id="133"/>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4"/>
      <w:r w:rsidRPr="0008098F">
        <w:rPr>
          <w:rFonts w:ascii="Arial" w:eastAsia="Calibri" w:hAnsi="Arial" w:cs="Arial"/>
          <w:bCs/>
          <w:sz w:val="20"/>
          <w:szCs w:val="20"/>
          <w:lang w:eastAsia="en-US"/>
        </w:rPr>
        <w:t>3. ОГРН: _____________________________________________________________________.</w:t>
      </w:r>
    </w:p>
    <w:bookmarkEnd w:id="134"/>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7"/>
            <w:r w:rsidRPr="0008098F">
              <w:rPr>
                <w:rFonts w:ascii="Arial" w:eastAsia="Calibri" w:hAnsi="Arial" w:cs="Arial"/>
                <w:bCs/>
                <w:sz w:val="20"/>
                <w:szCs w:val="20"/>
                <w:lang w:eastAsia="en-US"/>
              </w:rPr>
              <w:t>N</w:t>
            </w:r>
            <w:bookmarkEnd w:id="135"/>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08"/>
            <w:r w:rsidRPr="0008098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9"/>
            <w:r w:rsidRPr="0008098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10"/>
            <w:r w:rsidRPr="0008098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11"/>
            <w:r w:rsidRPr="0008098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13"/>
            <w:r w:rsidRPr="0008098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1"/>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2" w:name="sub_10123"/>
      <w:r w:rsidRPr="004C5C0F">
        <w:rPr>
          <w:rFonts w:ascii="Arial" w:eastAsia="Calibri" w:hAnsi="Arial" w:cs="Arial"/>
          <w:bCs/>
          <w:sz w:val="16"/>
          <w:szCs w:val="16"/>
          <w:lang w:eastAsia="en-US"/>
        </w:rPr>
        <w:t>______________________________________________________________________</w:t>
      </w:r>
    </w:p>
    <w:bookmarkEnd w:id="142"/>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3"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25"/>
      <w:bookmarkEnd w:id="143"/>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5" w:name="_Toc90385119"/>
      <w:bookmarkStart w:id="146"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5"/>
    <w:bookmarkEnd w:id="146"/>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7154D6" w:rsidP="0008098F">
      <w:pPr>
        <w:rPr>
          <w:rFonts w:ascii="Arial" w:hAnsi="Arial" w:cs="Arial"/>
          <w:sz w:val="20"/>
          <w:szCs w:val="20"/>
        </w:rPr>
      </w:pPr>
      <w:r w:rsidRPr="007154D6">
        <w:rPr>
          <w:rFonts w:ascii="Arial" w:hAnsi="Arial" w:cs="Arial"/>
          <w:b/>
          <w:bCs/>
          <w:noProof/>
          <w:spacing w:val="36"/>
          <w:sz w:val="20"/>
          <w:szCs w:val="20"/>
        </w:rPr>
        <w:pict>
          <v:rect id="_x0000_s1032" style="position:absolute;margin-left:1.5pt;margin-top:8.3pt;width:513pt;height:3in;z-index:251663360">
            <v:textbox>
              <w:txbxContent>
                <w:p w:rsidR="00A11DCF" w:rsidRPr="003F7D6C" w:rsidRDefault="00A11DCF"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A11DCF" w:rsidRPr="003F7D6C" w:rsidRDefault="00A11DC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11DCF" w:rsidRPr="003F7D6C" w:rsidRDefault="00A11DC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11DCF" w:rsidRPr="003F7D6C" w:rsidRDefault="00A11DC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11DCF" w:rsidRPr="003F7D6C" w:rsidRDefault="00A11DC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11DCF" w:rsidRPr="003F7D6C" w:rsidRDefault="00A11DC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11DCF" w:rsidRPr="003F7D6C" w:rsidRDefault="00A11DCF"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11DCF" w:rsidRPr="003F7D6C" w:rsidRDefault="00A11DC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11DCF" w:rsidRPr="003F7D6C" w:rsidRDefault="00A11DC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11DCF" w:rsidRDefault="00A11DCF"/>
                <w:p w:rsidR="00A11DCF" w:rsidRDefault="00A11DCF"/>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Pr="00107FA9" w:rsidRDefault="002560DA" w:rsidP="002560DA">
      <w:pPr>
        <w:jc w:val="right"/>
        <w:rPr>
          <w:rFonts w:ascii="Arial" w:hAnsi="Arial" w:cs="Arial"/>
          <w:b/>
          <w:sz w:val="20"/>
          <w:szCs w:val="20"/>
        </w:rPr>
      </w:pPr>
      <w:r w:rsidRPr="00107FA9">
        <w:rPr>
          <w:rFonts w:ascii="Arial" w:hAnsi="Arial" w:cs="Arial"/>
          <w:b/>
          <w:sz w:val="20"/>
          <w:szCs w:val="20"/>
        </w:rPr>
        <w:lastRenderedPageBreak/>
        <w:t>Форма №9</w:t>
      </w:r>
    </w:p>
    <w:p w:rsidR="002560DA" w:rsidRPr="00107FA9" w:rsidRDefault="002560DA" w:rsidP="002560DA">
      <w:pPr>
        <w:jc w:val="right"/>
        <w:rPr>
          <w:rFonts w:ascii="Arial" w:hAnsi="Arial" w:cs="Arial"/>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overflowPunct w:val="0"/>
        <w:autoSpaceDE w:val="0"/>
        <w:autoSpaceDN w:val="0"/>
        <w:adjustRightInd w:val="0"/>
        <w:jc w:val="center"/>
        <w:rPr>
          <w:rFonts w:ascii="Arial" w:hAnsi="Arial" w:cs="Arial"/>
          <w:b/>
          <w:bCs/>
          <w:sz w:val="20"/>
          <w:szCs w:val="20"/>
        </w:rPr>
      </w:pPr>
    </w:p>
    <w:p w:rsidR="002560DA" w:rsidRPr="00107FA9" w:rsidRDefault="002560DA" w:rsidP="002560DA">
      <w:pPr>
        <w:tabs>
          <w:tab w:val="left" w:pos="1080"/>
        </w:tabs>
        <w:jc w:val="center"/>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pStyle w:val="af7"/>
        <w:rPr>
          <w:rFonts w:ascii="Arial" w:hAnsi="Arial" w:cs="Arial"/>
          <w:sz w:val="20"/>
          <w:szCs w:val="20"/>
        </w:rPr>
      </w:pPr>
      <w:r w:rsidRPr="00107FA9">
        <w:rPr>
          <w:rFonts w:ascii="Arial" w:hAnsi="Arial" w:cs="Arial"/>
          <w:sz w:val="20"/>
          <w:szCs w:val="20"/>
        </w:rPr>
        <w:t xml:space="preserve">Приложение №7 к ценовой заявке  №______ </w:t>
      </w:r>
      <w:proofErr w:type="gramStart"/>
      <w:r w:rsidRPr="00107FA9">
        <w:rPr>
          <w:rFonts w:ascii="Arial" w:hAnsi="Arial" w:cs="Arial"/>
          <w:sz w:val="20"/>
          <w:szCs w:val="20"/>
        </w:rPr>
        <w:t>от</w:t>
      </w:r>
      <w:proofErr w:type="gramEnd"/>
      <w:r w:rsidRPr="00107FA9">
        <w:rPr>
          <w:rFonts w:ascii="Arial" w:hAnsi="Arial" w:cs="Arial"/>
          <w:sz w:val="20"/>
          <w:szCs w:val="20"/>
        </w:rPr>
        <w:t xml:space="preserve">_________________  </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работ/услуг в соответствии с требованиями.)</w:t>
      </w:r>
    </w:p>
    <w:p w:rsidR="002560DA" w:rsidRPr="00107FA9" w:rsidRDefault="002560DA" w:rsidP="002560DA">
      <w:pPr>
        <w:keepNext/>
        <w:keepLines/>
        <w:rPr>
          <w:rFonts w:ascii="Arial" w:hAnsi="Arial" w:cs="Arial"/>
          <w:bCs/>
          <w:sz w:val="20"/>
          <w:szCs w:val="20"/>
        </w:rPr>
      </w:pPr>
    </w:p>
    <w:tbl>
      <w:tblPr>
        <w:tblW w:w="0" w:type="auto"/>
        <w:tblInd w:w="108" w:type="dxa"/>
        <w:tblLook w:val="01E0"/>
      </w:tblPr>
      <w:tblGrid>
        <w:gridCol w:w="3960"/>
        <w:gridCol w:w="1143"/>
        <w:gridCol w:w="4820"/>
      </w:tblGrid>
      <w:tr w:rsidR="002560DA" w:rsidRPr="00107FA9" w:rsidTr="00B24847">
        <w:trPr>
          <w:trHeight w:val="252"/>
        </w:trPr>
        <w:tc>
          <w:tcPr>
            <w:tcW w:w="3960" w:type="dxa"/>
            <w:tcBorders>
              <w:bottom w:val="single" w:sz="4" w:space="0" w:color="auto"/>
            </w:tcBorders>
          </w:tcPr>
          <w:p w:rsidR="002560DA" w:rsidRPr="00107FA9" w:rsidRDefault="002560DA" w:rsidP="00B24847">
            <w:pPr>
              <w:tabs>
                <w:tab w:val="left" w:pos="1080"/>
              </w:tabs>
              <w:rPr>
                <w:rFonts w:ascii="Arial" w:hAnsi="Arial" w:cs="Arial"/>
                <w:bCs/>
                <w:sz w:val="20"/>
                <w:szCs w:val="20"/>
              </w:rPr>
            </w:pPr>
          </w:p>
        </w:tc>
        <w:tc>
          <w:tcPr>
            <w:tcW w:w="1143" w:type="dxa"/>
          </w:tcPr>
          <w:p w:rsidR="002560DA" w:rsidRPr="00107FA9" w:rsidRDefault="002560DA" w:rsidP="00B24847">
            <w:pPr>
              <w:tabs>
                <w:tab w:val="left" w:pos="1080"/>
              </w:tabs>
              <w:rPr>
                <w:rFonts w:ascii="Arial" w:hAnsi="Arial" w:cs="Arial"/>
                <w:bCs/>
                <w:sz w:val="20"/>
                <w:szCs w:val="20"/>
              </w:rPr>
            </w:pPr>
          </w:p>
        </w:tc>
        <w:tc>
          <w:tcPr>
            <w:tcW w:w="4820" w:type="dxa"/>
            <w:tcBorders>
              <w:bottom w:val="single" w:sz="4" w:space="0" w:color="auto"/>
            </w:tcBorders>
          </w:tcPr>
          <w:p w:rsidR="002560DA" w:rsidRPr="00107FA9" w:rsidRDefault="002560DA" w:rsidP="00B24847">
            <w:pPr>
              <w:tabs>
                <w:tab w:val="left" w:pos="1080"/>
              </w:tabs>
              <w:rPr>
                <w:rFonts w:ascii="Arial" w:hAnsi="Arial" w:cs="Arial"/>
                <w:bCs/>
                <w:sz w:val="20"/>
                <w:szCs w:val="20"/>
              </w:rPr>
            </w:pPr>
          </w:p>
        </w:tc>
      </w:tr>
      <w:tr w:rsidR="002560DA" w:rsidRPr="006B4F87" w:rsidTr="00B24847">
        <w:tc>
          <w:tcPr>
            <w:tcW w:w="3960" w:type="dxa"/>
            <w:tcBorders>
              <w:top w:val="single" w:sz="4" w:space="0" w:color="auto"/>
            </w:tcBorders>
          </w:tcPr>
          <w:p w:rsidR="002560DA" w:rsidRPr="006B4F87" w:rsidRDefault="002560DA" w:rsidP="00B24847">
            <w:pPr>
              <w:tabs>
                <w:tab w:val="left" w:pos="1080"/>
              </w:tabs>
              <w:rPr>
                <w:rFonts w:ascii="Arial" w:hAnsi="Arial" w:cs="Arial"/>
                <w:bCs/>
                <w:sz w:val="14"/>
                <w:szCs w:val="14"/>
              </w:rPr>
            </w:pPr>
            <w:r w:rsidRPr="006B4F87">
              <w:rPr>
                <w:rFonts w:ascii="Arial" w:hAnsi="Arial" w:cs="Arial"/>
                <w:bCs/>
                <w:sz w:val="14"/>
                <w:szCs w:val="14"/>
              </w:rPr>
              <w:t xml:space="preserve">         (подпись уполномоченного представителя)</w:t>
            </w:r>
          </w:p>
        </w:tc>
        <w:tc>
          <w:tcPr>
            <w:tcW w:w="1143" w:type="dxa"/>
          </w:tcPr>
          <w:p w:rsidR="002560DA" w:rsidRPr="006B4F87" w:rsidRDefault="002560DA" w:rsidP="00B24847">
            <w:pPr>
              <w:tabs>
                <w:tab w:val="left" w:pos="1080"/>
              </w:tabs>
              <w:rPr>
                <w:rFonts w:ascii="Arial" w:hAnsi="Arial" w:cs="Arial"/>
                <w:bCs/>
                <w:sz w:val="14"/>
                <w:szCs w:val="14"/>
              </w:rPr>
            </w:pPr>
          </w:p>
        </w:tc>
        <w:tc>
          <w:tcPr>
            <w:tcW w:w="4820" w:type="dxa"/>
            <w:tcBorders>
              <w:top w:val="single" w:sz="4" w:space="0" w:color="auto"/>
            </w:tcBorders>
          </w:tcPr>
          <w:p w:rsidR="002560DA" w:rsidRPr="006B4F87" w:rsidRDefault="002560DA" w:rsidP="00B24847">
            <w:pPr>
              <w:tabs>
                <w:tab w:val="left" w:pos="1080"/>
              </w:tabs>
              <w:rPr>
                <w:rFonts w:ascii="Arial" w:hAnsi="Arial" w:cs="Arial"/>
                <w:bCs/>
                <w:sz w:val="14"/>
                <w:szCs w:val="14"/>
              </w:rPr>
            </w:pPr>
            <w:r w:rsidRPr="006B4F87">
              <w:rPr>
                <w:rFonts w:ascii="Arial" w:hAnsi="Arial" w:cs="Arial"/>
                <w:bCs/>
                <w:sz w:val="14"/>
                <w:szCs w:val="14"/>
              </w:rPr>
              <w:t xml:space="preserve">                     (фамилия, имя, отчество </w:t>
            </w:r>
            <w:proofErr w:type="gramStart"/>
            <w:r w:rsidRPr="006B4F87">
              <w:rPr>
                <w:rFonts w:ascii="Arial" w:hAnsi="Arial" w:cs="Arial"/>
                <w:bCs/>
                <w:sz w:val="14"/>
                <w:szCs w:val="14"/>
              </w:rPr>
              <w:t>подписавшего</w:t>
            </w:r>
            <w:proofErr w:type="gramEnd"/>
            <w:r w:rsidRPr="006B4F87">
              <w:rPr>
                <w:rFonts w:ascii="Arial" w:hAnsi="Arial" w:cs="Arial"/>
                <w:bCs/>
                <w:sz w:val="14"/>
                <w:szCs w:val="14"/>
              </w:rPr>
              <w:t>, должность)</w:t>
            </w:r>
          </w:p>
        </w:tc>
      </w:tr>
    </w:tbl>
    <w:p w:rsidR="002560DA" w:rsidRPr="006B4F87" w:rsidRDefault="002560DA" w:rsidP="002560DA">
      <w:pPr>
        <w:tabs>
          <w:tab w:val="left" w:pos="7313"/>
        </w:tabs>
        <w:rPr>
          <w:rFonts w:ascii="Arial" w:hAnsi="Arial" w:cs="Arial"/>
          <w:b/>
          <w:bCs/>
          <w:sz w:val="14"/>
          <w:szCs w:val="14"/>
        </w:rPr>
      </w:pPr>
      <w:bookmarkStart w:id="149" w:name="_Toc247081500"/>
      <w:r w:rsidRPr="006B4F87">
        <w:rPr>
          <w:rFonts w:ascii="Arial" w:hAnsi="Arial" w:cs="Arial"/>
          <w:b/>
          <w:bCs/>
          <w:sz w:val="14"/>
          <w:szCs w:val="14"/>
        </w:rPr>
        <w:tab/>
      </w: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 xml:space="preserve">    М.П.</w:t>
      </w:r>
      <w:bookmarkEnd w:id="149"/>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2560DA" w:rsidRPr="00107FA9" w:rsidRDefault="002560DA" w:rsidP="002560DA">
      <w:pPr>
        <w:widowControl w:val="0"/>
        <w:numPr>
          <w:ilvl w:val="0"/>
          <w:numId w:val="61"/>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2560DA" w:rsidRPr="00107FA9" w:rsidRDefault="002560DA" w:rsidP="002560DA">
      <w:pPr>
        <w:pStyle w:val="af7"/>
        <w:rPr>
          <w:rFonts w:ascii="Arial" w:hAnsi="Arial" w:cs="Arial"/>
          <w:sz w:val="16"/>
          <w:szCs w:val="16"/>
        </w:rPr>
      </w:pPr>
    </w:p>
    <w:p w:rsidR="002560DA" w:rsidRPr="00107FA9" w:rsidRDefault="002560DA" w:rsidP="002560DA">
      <w:pPr>
        <w:pStyle w:val="af7"/>
        <w:rPr>
          <w:rFonts w:ascii="Arial" w:hAnsi="Arial" w:cs="Arial"/>
          <w:sz w:val="16"/>
          <w:szCs w:val="16"/>
        </w:rPr>
      </w:pPr>
    </w:p>
    <w:p w:rsidR="002560DA" w:rsidRPr="00107FA9" w:rsidRDefault="002560DA" w:rsidP="002560DA">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560DA" w:rsidRDefault="002560DA" w:rsidP="002560DA">
      <w:pPr>
        <w:pStyle w:val="aff1"/>
        <w:jc w:val="right"/>
        <w:rPr>
          <w:rFonts w:ascii="Arial" w:hAnsi="Arial" w:cs="Arial"/>
          <w:b/>
          <w:sz w:val="20"/>
        </w:rPr>
      </w:pPr>
    </w:p>
    <w:p w:rsidR="002560DA" w:rsidRDefault="002560DA" w:rsidP="002560DA">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lastRenderedPageBreak/>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DC0C15">
        <w:rPr>
          <w:rFonts w:ascii="Arial" w:hAnsi="Arial" w:cs="Arial"/>
          <w:sz w:val="20"/>
          <w:szCs w:val="20"/>
        </w:rPr>
        <w:t>106</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sidR="00DC0C15">
        <w:rPr>
          <w:rFonts w:ascii="Arial" w:hAnsi="Arial" w:cs="Arial"/>
          <w:sz w:val="20"/>
          <w:szCs w:val="20"/>
        </w:rPr>
        <w:t>26.09</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w:t>
      </w:r>
      <w:proofErr w:type="gramEnd"/>
      <w:r w:rsidRPr="003C6E0C">
        <w:rPr>
          <w:rFonts w:ascii="Arial" w:hAnsi="Arial" w:cs="Arial"/>
          <w:sz w:val="20"/>
          <w:szCs w:val="20"/>
        </w:rPr>
        <w:t xml:space="preserve"> </w:t>
      </w:r>
      <w:proofErr w:type="gramStart"/>
      <w:r w:rsidRPr="003C6E0C">
        <w:rPr>
          <w:rFonts w:ascii="Arial" w:hAnsi="Arial" w:cs="Arial"/>
          <w:sz w:val="20"/>
          <w:szCs w:val="20"/>
        </w:rPr>
        <w:t>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DC0C15" w:rsidRPr="00DC0C15"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sidR="00DC0C15">
        <w:rPr>
          <w:rFonts w:ascii="Arial" w:hAnsi="Arial" w:cs="Arial"/>
          <w:b/>
          <w:i/>
          <w:sz w:val="20"/>
          <w:szCs w:val="20"/>
        </w:rPr>
        <w:t xml:space="preserve"> выполнение работ</w:t>
      </w:r>
      <w:r w:rsidR="00DC0C15" w:rsidRPr="00DC0C15">
        <w:rPr>
          <w:rFonts w:ascii="Arial" w:hAnsi="Arial" w:cs="Arial"/>
          <w:b/>
          <w:i/>
          <w:sz w:val="20"/>
          <w:szCs w:val="20"/>
        </w:rPr>
        <w:t>:</w:t>
      </w:r>
    </w:p>
    <w:p w:rsidR="00DC0C15" w:rsidRPr="00DC0C15" w:rsidRDefault="00DC0C15" w:rsidP="00DC0C15">
      <w:pPr>
        <w:rPr>
          <w:rFonts w:ascii="Arial" w:hAnsi="Arial" w:cs="Arial"/>
          <w:sz w:val="20"/>
          <w:szCs w:val="20"/>
        </w:rPr>
      </w:pPr>
      <w:r w:rsidRPr="00DC0C15">
        <w:rPr>
          <w:rFonts w:ascii="Arial" w:hAnsi="Arial" w:cs="Arial"/>
        </w:rPr>
        <w:t xml:space="preserve">- </w:t>
      </w:r>
      <w:r w:rsidRPr="00DC0C15">
        <w:rPr>
          <w:rFonts w:ascii="Arial" w:hAnsi="Arial" w:cs="Arial"/>
          <w:sz w:val="20"/>
          <w:szCs w:val="20"/>
        </w:rPr>
        <w:t>Прокладка 2КЛ-1кВ от ТП-394 до муфты М</w:t>
      </w:r>
      <w:proofErr w:type="gramStart"/>
      <w:r w:rsidRPr="00DC0C15">
        <w:rPr>
          <w:rFonts w:ascii="Arial" w:hAnsi="Arial" w:cs="Arial"/>
          <w:sz w:val="20"/>
          <w:szCs w:val="20"/>
        </w:rPr>
        <w:t>1</w:t>
      </w:r>
      <w:proofErr w:type="gramEnd"/>
      <w:r w:rsidRPr="00DC0C15">
        <w:rPr>
          <w:rFonts w:ascii="Arial" w:hAnsi="Arial" w:cs="Arial"/>
          <w:sz w:val="20"/>
          <w:szCs w:val="20"/>
        </w:rPr>
        <w:t>, М2 по ул. Тарханова, 11А для "технологического присоединения  ВРУ с ЛЭП нежилого здания (клуб) с кадастровым №58:29:2009002:574 в границах земельного участка с кадастровым №58:29:2010007:235, г. Пенза, ул. Тарханова, 11А";</w:t>
      </w:r>
    </w:p>
    <w:p w:rsidR="003C6E0C" w:rsidRPr="003C6E0C" w:rsidRDefault="00DC0C15" w:rsidP="00DC0C15">
      <w:pPr>
        <w:snapToGrid w:val="0"/>
        <w:rPr>
          <w:rFonts w:ascii="Arial" w:hAnsi="Arial" w:cs="Arial"/>
          <w:sz w:val="20"/>
          <w:szCs w:val="20"/>
        </w:rPr>
      </w:pPr>
      <w:r w:rsidRPr="00DC0C15">
        <w:rPr>
          <w:rFonts w:ascii="Arial" w:hAnsi="Arial" w:cs="Arial"/>
          <w:sz w:val="20"/>
          <w:szCs w:val="20"/>
        </w:rPr>
        <w:t>- Прокладка КЛ-1кВ от ТП-394 до муфты М</w:t>
      </w:r>
      <w:proofErr w:type="gramStart"/>
      <w:r w:rsidRPr="00DC0C15">
        <w:rPr>
          <w:rFonts w:ascii="Arial" w:hAnsi="Arial" w:cs="Arial"/>
          <w:sz w:val="20"/>
          <w:szCs w:val="20"/>
        </w:rPr>
        <w:t>1</w:t>
      </w:r>
      <w:proofErr w:type="gramEnd"/>
      <w:r w:rsidRPr="00DC0C15">
        <w:rPr>
          <w:rFonts w:ascii="Arial" w:hAnsi="Arial" w:cs="Arial"/>
          <w:sz w:val="20"/>
          <w:szCs w:val="20"/>
        </w:rPr>
        <w:t xml:space="preserve"> по ул. Тарханова, 6А для "технологического присоединения  ВРУ с ЛЭП магазина с кадастровым №58:29:2010007:723 в границах земельного участка с кадастровым №58:29:2010007:305, г. Пенза, ул. Тарханова, 6А"</w:t>
      </w:r>
      <w:r w:rsidR="003C6E0C" w:rsidRPr="00C37074">
        <w:rPr>
          <w:rFonts w:ascii="Arial" w:hAnsi="Arial" w:cs="Arial"/>
          <w:b/>
          <w:i/>
          <w:sz w:val="20"/>
          <w:szCs w:val="20"/>
        </w:rPr>
        <w:t xml:space="preserve">, </w:t>
      </w:r>
      <w:r w:rsidR="003C6E0C" w:rsidRPr="00C37074">
        <w:rPr>
          <w:rFonts w:ascii="Arial" w:hAnsi="Arial" w:cs="Arial"/>
          <w:spacing w:val="-1"/>
          <w:sz w:val="20"/>
          <w:szCs w:val="20"/>
        </w:rPr>
        <w:t xml:space="preserve">а </w:t>
      </w:r>
      <w:r w:rsidR="003C6E0C" w:rsidRPr="00C37074">
        <w:rPr>
          <w:rFonts w:ascii="Arial" w:hAnsi="Arial" w:cs="Arial"/>
          <w:sz w:val="20"/>
          <w:szCs w:val="20"/>
        </w:rPr>
        <w:t xml:space="preserve"> Заказчик</w:t>
      </w:r>
      <w:r w:rsidR="003C6E0C" w:rsidRPr="003C6E0C">
        <w:rPr>
          <w:rFonts w:ascii="Arial" w:hAnsi="Arial" w:cs="Arial"/>
          <w:sz w:val="20"/>
          <w:szCs w:val="20"/>
        </w:rPr>
        <w:t xml:space="preserve">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в течение </w:t>
      </w:r>
      <w:r w:rsidR="002560DA" w:rsidRPr="002560DA">
        <w:rPr>
          <w:rFonts w:ascii="Arial" w:hAnsi="Arial" w:cs="Arial"/>
          <w:sz w:val="20"/>
          <w:szCs w:val="20"/>
        </w:rPr>
        <w:t>1 (Одного) рабочего дня</w:t>
      </w:r>
      <w:r w:rsidR="002560DA" w:rsidRPr="00487EA8">
        <w:rPr>
          <w:rFonts w:ascii="Arial" w:hAnsi="Arial" w:cs="Arial"/>
        </w:rPr>
        <w:t xml:space="preserve">  </w:t>
      </w:r>
      <w:r w:rsidR="003C6E0C" w:rsidRPr="003C6E0C">
        <w:rPr>
          <w:rFonts w:ascii="Arial" w:hAnsi="Arial" w:cs="Arial"/>
          <w:sz w:val="20"/>
          <w:szCs w:val="20"/>
        </w:rPr>
        <w:t>с момента подписания договора.</w:t>
      </w:r>
    </w:p>
    <w:p w:rsidR="003C6E0C" w:rsidRPr="003C6E0C" w:rsidRDefault="00DC0C15"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15.10</w:t>
      </w:r>
      <w:r w:rsidR="002560DA">
        <w:rPr>
          <w:rFonts w:ascii="Arial" w:hAnsi="Arial" w:cs="Arial"/>
          <w:sz w:val="20"/>
          <w:szCs w:val="20"/>
        </w:rPr>
        <w:t>.2022</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lastRenderedPageBreak/>
        <w:t>- расч</w:t>
      </w:r>
      <w:r w:rsidR="0060441E">
        <w:rPr>
          <w:rFonts w:ascii="Arial" w:hAnsi="Arial" w:cs="Arial"/>
          <w:sz w:val="20"/>
          <w:szCs w:val="20"/>
        </w:rPr>
        <w:t xml:space="preserve">ет производится не позднее </w:t>
      </w:r>
      <w:r w:rsidR="00DC0C15">
        <w:rPr>
          <w:rFonts w:ascii="Arial" w:hAnsi="Arial" w:cs="Arial"/>
          <w:sz w:val="20"/>
          <w:szCs w:val="20"/>
        </w:rPr>
        <w:t>7 (Семи) рабочих</w:t>
      </w:r>
      <w:r w:rsidRPr="003C6E0C">
        <w:rPr>
          <w:rFonts w:ascii="Arial" w:hAnsi="Arial" w:cs="Arial"/>
          <w:sz w:val="20"/>
          <w:szCs w:val="20"/>
        </w:rPr>
        <w:t xml:space="preserve">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C6E0C">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DC0C15" w:rsidTr="00B24F0C">
        <w:tc>
          <w:tcPr>
            <w:tcW w:w="5103" w:type="dxa"/>
          </w:tcPr>
          <w:p w:rsidR="003C6E0C" w:rsidRPr="00DC0C15" w:rsidRDefault="003C6E0C" w:rsidP="00B24F0C">
            <w:pPr>
              <w:jc w:val="both"/>
              <w:rPr>
                <w:rFonts w:ascii="Arial" w:hAnsi="Arial" w:cs="Arial"/>
                <w:sz w:val="20"/>
                <w:szCs w:val="20"/>
              </w:rPr>
            </w:pPr>
          </w:p>
        </w:tc>
        <w:tc>
          <w:tcPr>
            <w:tcW w:w="4961" w:type="dxa"/>
          </w:tcPr>
          <w:p w:rsidR="003C6E0C" w:rsidRPr="00DC0C15" w:rsidRDefault="0060441E" w:rsidP="00B24F0C">
            <w:pPr>
              <w:snapToGrid w:val="0"/>
              <w:rPr>
                <w:rFonts w:ascii="Arial" w:hAnsi="Arial" w:cs="Arial"/>
                <w:sz w:val="20"/>
                <w:szCs w:val="20"/>
              </w:rPr>
            </w:pPr>
            <w:r w:rsidRPr="00DC0C15">
              <w:rPr>
                <w:rFonts w:ascii="Arial" w:hAnsi="Arial" w:cs="Arial"/>
                <w:sz w:val="20"/>
                <w:szCs w:val="20"/>
              </w:rPr>
              <w:t xml:space="preserve">Пензенское отделение №8624 ПАО Сбербанк </w:t>
            </w:r>
            <w:proofErr w:type="gramStart"/>
            <w:r w:rsidRPr="00DC0C15">
              <w:rPr>
                <w:rFonts w:ascii="Arial" w:hAnsi="Arial" w:cs="Arial"/>
                <w:sz w:val="20"/>
                <w:szCs w:val="20"/>
              </w:rPr>
              <w:t>г</w:t>
            </w:r>
            <w:proofErr w:type="gramEnd"/>
            <w:r w:rsidRPr="00DC0C15">
              <w:rPr>
                <w:rFonts w:ascii="Arial" w:hAnsi="Arial" w:cs="Arial"/>
                <w:sz w:val="20"/>
                <w:szCs w:val="20"/>
              </w:rPr>
              <w:t>. Пенза</w:t>
            </w:r>
          </w:p>
          <w:p w:rsidR="00DC0C15" w:rsidRPr="00DC0C15" w:rsidRDefault="00DC0C15" w:rsidP="00DC0C15">
            <w:pPr>
              <w:tabs>
                <w:tab w:val="left" w:pos="0"/>
              </w:tabs>
              <w:autoSpaceDE w:val="0"/>
              <w:autoSpaceDN w:val="0"/>
              <w:adjustRightInd w:val="0"/>
              <w:jc w:val="both"/>
              <w:rPr>
                <w:rFonts w:ascii="Arial" w:hAnsi="Arial" w:cs="Arial"/>
                <w:sz w:val="20"/>
                <w:szCs w:val="20"/>
                <w:lang w:val="en-US"/>
              </w:rPr>
            </w:pPr>
            <w:r w:rsidRPr="00DC0C15">
              <w:rPr>
                <w:rFonts w:ascii="Arial" w:hAnsi="Arial" w:cs="Arial"/>
                <w:sz w:val="20"/>
                <w:szCs w:val="20"/>
                <w:lang w:val="de-DE"/>
              </w:rPr>
              <w:t>e-</w:t>
            </w:r>
            <w:proofErr w:type="spellStart"/>
            <w:r w:rsidRPr="00DC0C15">
              <w:rPr>
                <w:rFonts w:ascii="Arial" w:hAnsi="Arial" w:cs="Arial"/>
                <w:sz w:val="20"/>
                <w:szCs w:val="20"/>
                <w:lang w:val="de-DE"/>
              </w:rPr>
              <w:t>mail</w:t>
            </w:r>
            <w:proofErr w:type="spellEnd"/>
            <w:r w:rsidRPr="00DC0C15">
              <w:rPr>
                <w:rFonts w:ascii="Arial" w:hAnsi="Arial" w:cs="Arial"/>
                <w:sz w:val="20"/>
                <w:szCs w:val="20"/>
                <w:lang w:val="de-DE"/>
              </w:rPr>
              <w:t xml:space="preserve"> </w:t>
            </w:r>
            <w:r w:rsidRPr="00DC0C15">
              <w:rPr>
                <w:rFonts w:ascii="Arial" w:hAnsi="Arial" w:cs="Arial"/>
                <w:sz w:val="20"/>
                <w:szCs w:val="20"/>
                <w:lang w:val="en-US"/>
              </w:rPr>
              <w:t xml:space="preserve"> chagorova@pges.su</w:t>
            </w:r>
          </w:p>
          <w:p w:rsidR="00DC0C15" w:rsidRPr="00DC0C15" w:rsidRDefault="00DC0C15" w:rsidP="00DC0C15">
            <w:pPr>
              <w:tabs>
                <w:tab w:val="left" w:pos="0"/>
              </w:tabs>
              <w:autoSpaceDE w:val="0"/>
              <w:autoSpaceDN w:val="0"/>
              <w:adjustRightInd w:val="0"/>
              <w:jc w:val="both"/>
              <w:rPr>
                <w:rFonts w:ascii="Arial" w:hAnsi="Arial" w:cs="Arial"/>
                <w:sz w:val="20"/>
                <w:szCs w:val="20"/>
                <w:lang w:val="en-US"/>
              </w:rPr>
            </w:pPr>
            <w:r w:rsidRPr="00DC0C15">
              <w:rPr>
                <w:rFonts w:ascii="Arial" w:hAnsi="Arial" w:cs="Arial"/>
                <w:sz w:val="20"/>
                <w:szCs w:val="20"/>
              </w:rPr>
              <w:t>Конт</w:t>
            </w:r>
            <w:proofErr w:type="gramStart"/>
            <w:r w:rsidRPr="00DC0C15">
              <w:rPr>
                <w:rFonts w:ascii="Arial" w:hAnsi="Arial" w:cs="Arial"/>
                <w:sz w:val="20"/>
                <w:szCs w:val="20"/>
                <w:lang w:val="de-DE"/>
              </w:rPr>
              <w:t>.</w:t>
            </w:r>
            <w:r w:rsidRPr="00DC0C15">
              <w:rPr>
                <w:rFonts w:ascii="Arial" w:hAnsi="Arial" w:cs="Arial"/>
                <w:sz w:val="20"/>
                <w:szCs w:val="20"/>
              </w:rPr>
              <w:t>т</w:t>
            </w:r>
            <w:proofErr w:type="gramEnd"/>
            <w:r w:rsidRPr="00DC0C15">
              <w:rPr>
                <w:rFonts w:ascii="Arial" w:hAnsi="Arial" w:cs="Arial"/>
                <w:sz w:val="20"/>
                <w:szCs w:val="20"/>
              </w:rPr>
              <w:t>ел</w:t>
            </w:r>
            <w:r w:rsidRPr="00DC0C15">
              <w:rPr>
                <w:rFonts w:ascii="Arial" w:hAnsi="Arial" w:cs="Arial"/>
                <w:sz w:val="20"/>
                <w:szCs w:val="20"/>
                <w:lang w:val="de-DE"/>
              </w:rPr>
              <w:t xml:space="preserve">: </w:t>
            </w:r>
            <w:r w:rsidRPr="00DC0C15">
              <w:rPr>
                <w:rFonts w:ascii="Arial" w:hAnsi="Arial" w:cs="Arial"/>
                <w:sz w:val="20"/>
                <w:szCs w:val="20"/>
                <w:lang w:val="en-US"/>
              </w:rPr>
              <w:t>(8412) 55-04-13</w:t>
            </w:r>
          </w:p>
          <w:p w:rsidR="00DC0C15" w:rsidRPr="00DC0C15" w:rsidRDefault="00DC0C15" w:rsidP="00B24F0C">
            <w:pPr>
              <w:snapToGrid w:val="0"/>
              <w:rPr>
                <w:rFonts w:ascii="Arial" w:hAnsi="Arial" w:cs="Arial"/>
                <w:sz w:val="20"/>
                <w:szCs w:val="20"/>
                <w:lang w:val="en-US"/>
              </w:rPr>
            </w:pPr>
          </w:p>
        </w:tc>
      </w:tr>
    </w:tbl>
    <w:p w:rsidR="003C6E0C" w:rsidRPr="00DC0C15"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Pr="0008098F" w:rsidRDefault="0060441E" w:rsidP="00DC0C15">
      <w:pPr>
        <w:pStyle w:val="aff1"/>
        <w:jc w:val="left"/>
        <w:rPr>
          <w:rFonts w:ascii="Arial" w:hAnsi="Arial" w:cs="Arial"/>
          <w:b/>
          <w:sz w:val="20"/>
        </w:rPr>
      </w:pPr>
    </w:p>
    <w:sectPr w:rsidR="0060441E"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CF" w:rsidRDefault="00A11DCF">
      <w:r>
        <w:separator/>
      </w:r>
    </w:p>
  </w:endnote>
  <w:endnote w:type="continuationSeparator" w:id="0">
    <w:p w:rsidR="00A11DCF" w:rsidRDefault="00A11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F" w:rsidRDefault="00A11DCF"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CF" w:rsidRDefault="00A11DCF">
      <w:r>
        <w:separator/>
      </w:r>
    </w:p>
  </w:footnote>
  <w:footnote w:type="continuationSeparator" w:id="0">
    <w:p w:rsidR="00A11DCF" w:rsidRDefault="00A11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F" w:rsidRDefault="00A11DCF"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F" w:rsidRDefault="00A11DCF"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D5CE4"/>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54D6"/>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1DCF"/>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847"/>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0C15"/>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8B131-85AE-43C9-983B-04A21616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9170</Words>
  <Characters>67804</Characters>
  <Application>Microsoft Office Word</Application>
  <DocSecurity>0</DocSecurity>
  <Lines>565</Lines>
  <Paragraphs>153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2022-09-26T07:15:00Z</dcterms:created>
  <dcterms:modified xsi:type="dcterms:W3CDTF">2022-09-26T08:10:00Z</dcterms:modified>
</cp:coreProperties>
</file>